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C8" w:rsidRDefault="009C7CC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7CC8" w:rsidRDefault="009C7CC8">
      <w:pPr>
        <w:pStyle w:val="ConsPlusNormal"/>
        <w:jc w:val="both"/>
        <w:outlineLvl w:val="0"/>
      </w:pPr>
    </w:p>
    <w:p w:rsidR="009C7CC8" w:rsidRDefault="009C7CC8">
      <w:pPr>
        <w:pStyle w:val="ConsPlusTitle"/>
        <w:jc w:val="center"/>
      </w:pPr>
      <w:r>
        <w:t>МИНИСТЕРСТВО СТРОИТЕЛЬСТВА И ЖИЛИЩНО-КОММУНАЛЬНОГО</w:t>
      </w:r>
    </w:p>
    <w:p w:rsidR="009C7CC8" w:rsidRDefault="009C7CC8">
      <w:pPr>
        <w:pStyle w:val="ConsPlusTitle"/>
        <w:jc w:val="center"/>
      </w:pPr>
      <w:r>
        <w:t>ХОЗЯЙСТВА РОССИЙСКОЙ ФЕДЕРАЦИИ</w:t>
      </w:r>
    </w:p>
    <w:p w:rsidR="009C7CC8" w:rsidRDefault="009C7CC8">
      <w:pPr>
        <w:pStyle w:val="ConsPlusTitle"/>
        <w:jc w:val="center"/>
      </w:pPr>
    </w:p>
    <w:p w:rsidR="009C7CC8" w:rsidRDefault="009C7CC8">
      <w:pPr>
        <w:pStyle w:val="ConsPlusTitle"/>
        <w:jc w:val="center"/>
      </w:pPr>
      <w:r>
        <w:t>ПИСЬМО</w:t>
      </w:r>
    </w:p>
    <w:p w:rsidR="009C7CC8" w:rsidRDefault="009C7CC8">
      <w:pPr>
        <w:pStyle w:val="ConsPlusTitle"/>
        <w:jc w:val="center"/>
      </w:pPr>
      <w:r>
        <w:t>от 14 мая 2024 г. N 12319-ОГ/09</w:t>
      </w:r>
    </w:p>
    <w:p w:rsidR="009C7CC8" w:rsidRDefault="009C7CC8">
      <w:pPr>
        <w:pStyle w:val="ConsPlusNormal"/>
        <w:ind w:firstLine="540"/>
        <w:jc w:val="both"/>
      </w:pPr>
    </w:p>
    <w:p w:rsidR="009C7CC8" w:rsidRDefault="009C7CC8">
      <w:pPr>
        <w:pStyle w:val="ConsPlusNormal"/>
        <w:ind w:firstLine="540"/>
        <w:jc w:val="both"/>
      </w:pPr>
      <w:r>
        <w:t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рассмотрел обращение и в рамках компетенции сообщает.</w:t>
      </w:r>
    </w:p>
    <w:p w:rsidR="009C7CC8" w:rsidRDefault="009C7CC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(далее - сметная стоимость),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</w:t>
      </w:r>
      <w:proofErr w:type="gramEnd"/>
      <w:r>
        <w:t xml:space="preserve"> </w:t>
      </w:r>
      <w:proofErr w:type="gramStart"/>
      <w:r>
        <w:t>Федерации, муниципальных образований составляет более 50 процентов, а также сметная стоимость капитального ремонта многоквартирного дома (общего имущества в многоквартирном доме),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сведения о которых включены в федеральный реестр</w:t>
      </w:r>
      <w:proofErr w:type="gramEnd"/>
      <w:r>
        <w:t xml:space="preserve"> сметных нормативов (далее - ФРСН), и сметных цен строительных ресурсов.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В иных случаях сметная стоимость строительства определяется с применением сметных нормативов, сведения о которых включены в ФРСН, и сметных цен строительных ресурсов, если это предусмотрено федеральным законом или договором.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При этом сметные нормативы и сметные цены строительных ресурсов, использованные при определении сметной стоимости строительства, не подлежат применению при исполнении указанных контрактов или договоров.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При составлении сметной документации выбор (обоснование) того или иного норматива из действующих сметных нормативов осуществляется в соответствии с принятыми проектными решениями и применяемой в проекте технологией производства работ и относится к компетенции организации, разрабатывающей проектную документацию, и застройщика или уполномоченного застройщиком технического заказчика.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По вопросам, касающимся правил применения сметных нормативов, следует руководствоваться методическими документами, а также общими положениями, приложениями и примечаниями к таблицам соответствующих сборников сметных норм, включенных в ФРСН.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Основанием для определения сметной стоимости (выбора сметных норм и расценок) являются ведомости объемов строительных и монтажных работ (с подсчетами и ссылками на листы чертежей), а также решения по организации строительства, принятые в проектной документации.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При этом выбор норм и расценок рекомендуется осуществлять с учетом максимального соответствия состава работ и ресурсов применяемого норматива условиям производства работ, предусмотренным проектом.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lastRenderedPageBreak/>
        <w:t xml:space="preserve">Перечень работ, учитываемых при разработке сметных норм на монтаж и капитальный ремонт оборудования (ГЭСНм, ГЭСНмр), приведен в </w:t>
      </w:r>
      <w:hyperlink r:id="rId7">
        <w:r>
          <w:rPr>
            <w:color w:val="0000FF"/>
          </w:rPr>
          <w:t>пункте 38</w:t>
        </w:r>
      </w:hyperlink>
      <w:r>
        <w:t xml:space="preserve"> Методики разработки сметных норм, утвержденной приказом Минстроя России от 18 июля 2022 г. N 577/</w:t>
      </w:r>
      <w:proofErr w:type="gramStart"/>
      <w:r>
        <w:t>пр</w:t>
      </w:r>
      <w:proofErr w:type="gramEnd"/>
      <w:r>
        <w:t xml:space="preserve"> (далее - Методика N 577/пр).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пункту 40</w:t>
        </w:r>
      </w:hyperlink>
      <w:r>
        <w:t xml:space="preserve"> Методики N 577/</w:t>
      </w:r>
      <w:proofErr w:type="gramStart"/>
      <w:r>
        <w:t>пр</w:t>
      </w:r>
      <w:proofErr w:type="gramEnd"/>
      <w:r>
        <w:t xml:space="preserve"> при разработке сметных норм (ГЭСНм, ГЭСНмр) в том числе не учитываются работы по: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наладке, настройке, регулировке оборудования (кроме оборудования связи), учитываемые в составе пусконаладочных работ;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- пуску и проверке на соответствующем этапе ввода объекта в эксплуатацию устойчивой и надежной работы </w:t>
      </w:r>
      <w:proofErr w:type="gramStart"/>
      <w:r>
        <w:t>оборудования</w:t>
      </w:r>
      <w:proofErr w:type="gramEnd"/>
      <w:r>
        <w:t xml:space="preserve"> при выполнении установленных проектом функций, в условиях взаимосвязанной совместной работы со всеми системами и оборудованием в предусмотренном проектом технологическом процессе в течение времени, установленного программой пусконаладочных работ (комплексное опробование оборудования) "вхолостую" и "под нагрузкой".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пункту 1.8.1 раздела I</w:t>
        </w:r>
      </w:hyperlink>
      <w:r>
        <w:t xml:space="preserve"> "Общие положения" ГЭСНм 81-03-08-2022 "Сборник 8. Электротехнические установки", сметными нормами сборника 8 учтены затраты на выполнение полного комплекса электромонтажных работ, определенного в соответствии с требованиями соответствующих технических условий и инструкций.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Пусконаладочные работы на электротехническом оборудовании планируются и выполняются в соответствии с положениями </w:t>
      </w:r>
      <w:hyperlink r:id="rId10">
        <w:r>
          <w:rPr>
            <w:color w:val="0000FF"/>
          </w:rPr>
          <w:t>части 7</w:t>
        </w:r>
      </w:hyperlink>
      <w:r>
        <w:t xml:space="preserve"> "Пусконаладочные работы" Свода правил СП 76.13330.2016 "Электротехнические устройства" (Актуализированная редакция СНиП 3.05.06-85), утвержденного </w:t>
      </w:r>
      <w:hyperlink r:id="rId11">
        <w:r>
          <w:rPr>
            <w:color w:val="0000FF"/>
          </w:rPr>
          <w:t>приказом</w:t>
        </w:r>
      </w:hyperlink>
      <w:r>
        <w:t xml:space="preserve"> Минстроя России от 16 декабря 2016 г. N 955/пр.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Для учета затрат на осуществление пусконаладочных работ рекомендуется применение сметных норм соответствующих сборников сметных норм на пусконаладочные работы из номенклатуры Федеральной сметной нормативной базы.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Порядок применения сметных норм для учета затрат при выполнении пусконаладочных работ определен положениями </w:t>
      </w:r>
      <w:hyperlink r:id="rId12">
        <w:r>
          <w:rPr>
            <w:color w:val="0000FF"/>
          </w:rPr>
          <w:t>главы VI</w:t>
        </w:r>
      </w:hyperlink>
      <w:r>
        <w:t xml:space="preserve"> "Методы применения сметных норм на пусконаладочные работы" Методики применения сметных норм, утвержденной приказом Минстроя России от 14 июля 2022 г. N 571/</w:t>
      </w:r>
      <w:proofErr w:type="gramStart"/>
      <w:r>
        <w:t>пр</w:t>
      </w:r>
      <w:proofErr w:type="gramEnd"/>
      <w:r>
        <w:t xml:space="preserve"> (далее - Методика N 571/пр).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пункту 71</w:t>
        </w:r>
      </w:hyperlink>
      <w:r>
        <w:t xml:space="preserve"> Методики N 571/</w:t>
      </w:r>
      <w:proofErr w:type="gramStart"/>
      <w:r>
        <w:t>пр</w:t>
      </w:r>
      <w:proofErr w:type="gramEnd"/>
      <w:r>
        <w:t xml:space="preserve"> способы и методы применения сметных норм на пусконаладочные работы, обусловленные особенностями производства работ, которые использовались при разработке сметных норм, предусмотрены разделами "Общие положения", "Исчисление объемов работ" и "Приложения" сборников ГЭСНп.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72</w:t>
        </w:r>
      </w:hyperlink>
      <w:r>
        <w:t xml:space="preserve"> Методики N 571/</w:t>
      </w:r>
      <w:proofErr w:type="gramStart"/>
      <w:r>
        <w:t>пр</w:t>
      </w:r>
      <w:proofErr w:type="gramEnd"/>
      <w:r>
        <w:t xml:space="preserve"> в сметных нормах, включенных в сборники ГЭСНп, учтены затраты труда пусконаладочного персонала, связанные с выполнением полного комплекса пусконаладочных работ, установленного с учетом требований соответствующей нормативной и технической документации.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Объем испытаний и порядок измерений определяются соответствующими пунктами главы 1.8 "Нормы приемо-сдаточных испытаний", </w:t>
      </w:r>
      <w:hyperlink r:id="rId15">
        <w:r>
          <w:rPr>
            <w:color w:val="0000FF"/>
          </w:rPr>
          <w:t>ПУЭ-2003</w:t>
        </w:r>
      </w:hyperlink>
      <w:r>
        <w:t>, утвержденных приказом Минэнерго России от 8 июля 2002 г. N 204.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пунктом 2.7</w:t>
        </w:r>
      </w:hyperlink>
      <w:r>
        <w:t xml:space="preserve"> приложения N 9 к Методике N 421/</w:t>
      </w:r>
      <w:proofErr w:type="gramStart"/>
      <w:r>
        <w:t>пр</w:t>
      </w:r>
      <w:proofErr w:type="gramEnd"/>
      <w:r>
        <w:t xml:space="preserve"> затраты на проведение пусконаладочных работ определяются локальными сметными расчетами (сметами), разработанными в соответствии с положениями </w:t>
      </w:r>
      <w:hyperlink r:id="rId17">
        <w:r>
          <w:rPr>
            <w:color w:val="0000FF"/>
          </w:rPr>
          <w:t>Методики</w:t>
        </w:r>
      </w:hyperlink>
      <w:r>
        <w:t xml:space="preserve"> N 421/пр, с применением сметных нормативов, сведения о которых включены в ФРСН, и учитываются в графах 7 и 8 сводного сметного расчета стоимости строительства.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lastRenderedPageBreak/>
        <w:t xml:space="preserve">Особенности определения сметных затрат на пусконаладочные работы приведены в </w:t>
      </w:r>
      <w:hyperlink r:id="rId18">
        <w:r>
          <w:rPr>
            <w:color w:val="0000FF"/>
          </w:rPr>
          <w:t>главе VII</w:t>
        </w:r>
      </w:hyperlink>
      <w:r>
        <w:t xml:space="preserve"> Методики N 421/пр.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9">
        <w:r>
          <w:rPr>
            <w:color w:val="0000FF"/>
          </w:rPr>
          <w:t>пункту 122</w:t>
        </w:r>
      </w:hyperlink>
      <w:r>
        <w:t xml:space="preserve"> Методики N 421/</w:t>
      </w:r>
      <w:proofErr w:type="gramStart"/>
      <w:r>
        <w:t>пр</w:t>
      </w:r>
      <w:proofErr w:type="gramEnd"/>
      <w:r>
        <w:t>, сметная стоимость пусконаладочных работ определяется на основании программы и графика выполнения пусконаладочных работ, заверенных заказчиком (или уполномоченным им лицом).</w:t>
      </w:r>
    </w:p>
    <w:p w:rsidR="009C7CC8" w:rsidRDefault="009C7CC8">
      <w:pPr>
        <w:pStyle w:val="ConsPlusNormal"/>
        <w:spacing w:before="220"/>
        <w:ind w:firstLine="540"/>
        <w:jc w:val="both"/>
      </w:pPr>
      <w:proofErr w:type="gramStart"/>
      <w:r>
        <w:t>В случае если на этапе составления сметной документации отсутствуют программа и график выполнения пусконаладочных работ, сметная стоимость пусконаладочных работ может определяться на основании программы (типовой программы или положений программы по схожим видам работ) пусконаладочных работ, составленной по объектам-аналогам (договорам), в случае если такое решение принято заказчиком.</w:t>
      </w:r>
      <w:proofErr w:type="gramEnd"/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При отсутствии информации об объектах-аналогах стоимость пусконаладочных работ может определяться на основании данных конъюнктурного анализа цен с учетом требований </w:t>
      </w:r>
      <w:hyperlink r:id="rId20">
        <w:r>
          <w:rPr>
            <w:color w:val="0000FF"/>
          </w:rPr>
          <w:t>пункта 13</w:t>
        </w:r>
      </w:hyperlink>
      <w:r>
        <w:t xml:space="preserve"> Методики N 421/</w:t>
      </w:r>
      <w:proofErr w:type="gramStart"/>
      <w:r>
        <w:t>пр</w:t>
      </w:r>
      <w:proofErr w:type="gramEnd"/>
      <w:r>
        <w:t xml:space="preserve"> в целом по объекту с разбивкой по комплексам пусконаладочных работ, в случае если такое решение принято заказчиком.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Следует отметить, что согласно </w:t>
      </w:r>
      <w:hyperlink r:id="rId21">
        <w:r>
          <w:rPr>
            <w:color w:val="0000FF"/>
          </w:rPr>
          <w:t>пункту 1.1.4 раздела I</w:t>
        </w:r>
      </w:hyperlink>
      <w:r>
        <w:t xml:space="preserve"> "Общие положения" ГЭСНп 81-05-01-2022 "Сборник 1. Электротехнические устройства" (далее - Раздел I Сборника 1), в сметных нормах Сборника 1 не учтены затраты в том числе на составление программ индивидуальных и комплексных испытаний электрооборудования и систем.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22">
        <w:r>
          <w:rPr>
            <w:color w:val="0000FF"/>
          </w:rPr>
          <w:t>пунктом 1.1.2 раздела I</w:t>
        </w:r>
      </w:hyperlink>
      <w:r>
        <w:t xml:space="preserve"> Сборника 1 сметные нормы сборника 1 рассчитаны с учетом следующих условий: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электрооборудование отечественное, серийное, не требует доводки предприятием-изготовителем, а срок его хранения на складе не превышает нормативного;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объем пусконаладочных работ и испытаний оборудования соответствует нормам приемо-сдаточных испытаний;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дефекты электрооборудования, выявленные при производстве пусконаладочных работ, устраняются заказчиком;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режимы работы электрооборудования в процессе пусконаладочных работ обеспечиваются заказчиком в соответствии с согласованными графиками и программами;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пусконаладочные работы выполняются квалифицированным наладочным персоналом специализированных организаций;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пусконаладочные работы проводятся не во вредных условиях труда и при положительной температуре окружающей среды;</w:t>
      </w:r>
    </w:p>
    <w:p w:rsidR="009C7CC8" w:rsidRDefault="009C7CC8">
      <w:pPr>
        <w:pStyle w:val="ConsPlusNormal"/>
        <w:spacing w:before="220"/>
        <w:ind w:firstLine="540"/>
        <w:jc w:val="both"/>
      </w:pPr>
      <w:r>
        <w:t>- продолжительность оформления специальных допусков не учитывается.</w:t>
      </w:r>
    </w:p>
    <w:p w:rsidR="009C7CC8" w:rsidRDefault="009C7CC8">
      <w:pPr>
        <w:pStyle w:val="ConsPlusNormal"/>
        <w:spacing w:before="220"/>
        <w:ind w:firstLine="540"/>
        <w:jc w:val="both"/>
      </w:pPr>
      <w:proofErr w:type="gramStart"/>
      <w:r>
        <w:t>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предписания,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 лиц, а также</w:t>
      </w:r>
      <w:proofErr w:type="gramEnd"/>
      <w:r>
        <w:t xml:space="preserve"> не подлежат подготовке и регистрации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N 1009.</w:t>
      </w:r>
    </w:p>
    <w:p w:rsidR="009C7CC8" w:rsidRDefault="009C7CC8">
      <w:pPr>
        <w:pStyle w:val="ConsPlusNormal"/>
        <w:spacing w:before="220"/>
        <w:ind w:firstLine="540"/>
        <w:jc w:val="both"/>
      </w:pPr>
      <w:proofErr w:type="gramStart"/>
      <w:r>
        <w:lastRenderedPageBreak/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>
        <w:t xml:space="preserve"> в письмах.</w:t>
      </w:r>
    </w:p>
    <w:p w:rsidR="009C7CC8" w:rsidRDefault="009C7CC8">
      <w:pPr>
        <w:pStyle w:val="ConsPlusNormal"/>
        <w:ind w:firstLine="540"/>
        <w:jc w:val="both"/>
      </w:pPr>
    </w:p>
    <w:p w:rsidR="009C7CC8" w:rsidRDefault="009C7CC8">
      <w:pPr>
        <w:pStyle w:val="ConsPlusNormal"/>
        <w:jc w:val="right"/>
      </w:pPr>
      <w:r>
        <w:t>И.о. директора</w:t>
      </w:r>
    </w:p>
    <w:p w:rsidR="009C7CC8" w:rsidRDefault="009C7CC8">
      <w:pPr>
        <w:pStyle w:val="ConsPlusNormal"/>
        <w:jc w:val="right"/>
      </w:pPr>
      <w:r>
        <w:t>Департамента ценообразования</w:t>
      </w:r>
    </w:p>
    <w:p w:rsidR="009C7CC8" w:rsidRDefault="009C7CC8">
      <w:pPr>
        <w:pStyle w:val="ConsPlusNormal"/>
        <w:jc w:val="right"/>
      </w:pPr>
      <w:r>
        <w:t>и ресурсного обеспечения строительства</w:t>
      </w:r>
    </w:p>
    <w:p w:rsidR="009C7CC8" w:rsidRDefault="009C7CC8">
      <w:pPr>
        <w:pStyle w:val="ConsPlusNormal"/>
        <w:jc w:val="right"/>
      </w:pPr>
      <w:r>
        <w:t>А.Ю.ГОНЧАРОВ</w:t>
      </w:r>
    </w:p>
    <w:p w:rsidR="009C7CC8" w:rsidRDefault="009C7CC8">
      <w:pPr>
        <w:pStyle w:val="ConsPlusNormal"/>
        <w:jc w:val="both"/>
      </w:pPr>
    </w:p>
    <w:p w:rsidR="009C7CC8" w:rsidRDefault="009C7CC8">
      <w:pPr>
        <w:pStyle w:val="ConsPlusNormal"/>
        <w:jc w:val="both"/>
      </w:pPr>
    </w:p>
    <w:p w:rsidR="009C7CC8" w:rsidRDefault="009C7C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817A2" w:rsidRDefault="003817A2"/>
    <w:sectPr w:rsidR="003817A2" w:rsidSect="004F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C8"/>
    <w:rsid w:val="003817A2"/>
    <w:rsid w:val="009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02&amp;dst=100195" TargetMode="External"/><Relationship Id="rId13" Type="http://schemas.openxmlformats.org/officeDocument/2006/relationships/hyperlink" Target="https://login.consultant.ru/link/?req=doc&amp;base=LAW&amp;n=422779&amp;dst=100208" TargetMode="External"/><Relationship Id="rId18" Type="http://schemas.openxmlformats.org/officeDocument/2006/relationships/hyperlink" Target="https://login.consultant.ru/link/?req=doc&amp;base=LAW&amp;n=473773&amp;dst=1003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TR&amp;n=29983&amp;dst=109778" TargetMode="External"/><Relationship Id="rId7" Type="http://schemas.openxmlformats.org/officeDocument/2006/relationships/hyperlink" Target="https://login.consultant.ru/link/?req=doc&amp;base=LAW&amp;n=422402&amp;dst=100172" TargetMode="External"/><Relationship Id="rId12" Type="http://schemas.openxmlformats.org/officeDocument/2006/relationships/hyperlink" Target="https://login.consultant.ru/link/?req=doc&amp;base=LAW&amp;n=422779&amp;dst=100207" TargetMode="External"/><Relationship Id="rId17" Type="http://schemas.openxmlformats.org/officeDocument/2006/relationships/hyperlink" Target="https://login.consultant.ru/link/?req=doc&amp;base=LAW&amp;n=473773&amp;dst=10001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3773&amp;dst=5402" TargetMode="External"/><Relationship Id="rId20" Type="http://schemas.openxmlformats.org/officeDocument/2006/relationships/hyperlink" Target="https://login.consultant.ru/link/?req=doc&amp;base=LAW&amp;n=473773&amp;dst=43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3957" TargetMode="External"/><Relationship Id="rId11" Type="http://schemas.openxmlformats.org/officeDocument/2006/relationships/hyperlink" Target="https://login.consultant.ru/link/?req=doc&amp;base=LAW&amp;n=27677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91542&amp;dst=100009" TargetMode="External"/><Relationship Id="rId23" Type="http://schemas.openxmlformats.org/officeDocument/2006/relationships/hyperlink" Target="https://login.consultant.ru/link/?req=doc&amp;base=LAW&amp;n=470238&amp;dst=100028" TargetMode="External"/><Relationship Id="rId10" Type="http://schemas.openxmlformats.org/officeDocument/2006/relationships/hyperlink" Target="https://login.consultant.ru/link/?req=doc&amp;base=STR&amp;n=21081&amp;dst=101419" TargetMode="External"/><Relationship Id="rId19" Type="http://schemas.openxmlformats.org/officeDocument/2006/relationships/hyperlink" Target="https://login.consultant.ru/link/?req=doc&amp;base=LAW&amp;n=473773&amp;dst=4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31544&amp;dst=157645" TargetMode="External"/><Relationship Id="rId14" Type="http://schemas.openxmlformats.org/officeDocument/2006/relationships/hyperlink" Target="https://login.consultant.ru/link/?req=doc&amp;base=LAW&amp;n=422779&amp;dst=100209" TargetMode="External"/><Relationship Id="rId22" Type="http://schemas.openxmlformats.org/officeDocument/2006/relationships/hyperlink" Target="https://login.consultant.ru/link/?req=doc&amp;base=STR&amp;n=29983&amp;dst=10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2024-05-29T09:58:00Z</dcterms:created>
  <dcterms:modified xsi:type="dcterms:W3CDTF">2024-05-29T09:59:00Z</dcterms:modified>
</cp:coreProperties>
</file>